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171.png" ContentType="image/png"/>
  <Override PartName="/word/media/rId54.png" ContentType="image/png"/>
  <Override PartName="/word/media/rId58.png" ContentType="image/png"/>
  <Override PartName="/word/media/rId49.png" ContentType="image/png"/>
  <Override PartName="/word/media/rId175.png" ContentType="image/png"/>
  <Override PartName="/word/media/rId63.png" ContentType="image/png"/>
  <Override PartName="/word/media/rId166.png" ContentType="image/png"/>
  <Override PartName="/word/media/rId180.png" ContentType="image/png"/>
  <Override PartName="/word/media/rId190.png" ContentType="image/png"/>
  <Override PartName="/word/media/rId18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of</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iliations"/>
    <w:p>
      <w:pPr>
        <w:pStyle w:val="Heading2"/>
      </w:pPr>
      <w:r>
        <w:t xml:space="preserve">Affiliations: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School of Life and Environmental Sciences, University of Sydney, Sydney, NSW 2006,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p>
      <w:pPr>
        <w:pStyle w:val="BodyText"/>
      </w:pPr>
      <w:r>
        <w:rPr>
          <w:bCs/>
          <w:b/>
        </w:rPr>
        <w:t xml:space="preserve">Running head</w:t>
      </w:r>
      <w:r>
        <w:t xml:space="preserve">: Reduced physiological rate variation in ectotherms</w:t>
      </w:r>
    </w:p>
    <w:bookmarkEnd w:id="20"/>
    <w:bookmarkStart w:id="21"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However, most work has focused on changes in mean phenotypic responses to climate warming ignoring how temperature may also change phenotypic variability. Phenotypic variability may be particularly important at extreme, high temperatures, which would facilitate selection of resistant individuals or promote plasticity (acclimation) and thereby increase resilience to heat waves. Using newly developed effect size estimates and meta-analysis (&gt;1900 effects from 226 species),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capacity for plasticity traded-off with a reduction in relative variance in physiological rates at higher temperatures. Relative variance reductions were particularly pronounced for terrestrial ectotherms, and this coincided with a lack of capacity for acclimation, highlighting the vulnerability of terrestrial ectotherms to climate change. Neither life-history stage nor past climate explained effect variability. Our results show that beneficial acclimation responses may trade-off with reductions in physiological rate variance. This trade-off could constrain evolutionary responses to climate change and reduce the potential benefits of portfolio effects. These findings have important evolutionary and ecological ramifications that affect our understanding of how climate change will impact populations now and in the future.</w:t>
      </w:r>
    </w:p>
    <w:bookmarkEnd w:id="21"/>
    <w:bookmarkStart w:id="22" w:name="introduction"/>
    <w:p>
      <w:pPr>
        <w:pStyle w:val="Heading2"/>
      </w:pPr>
      <w:r>
        <w:rPr>
          <w:bCs/>
          <w:b/>
        </w:rPr>
        <w:t xml:space="preserve">Introduction</w:t>
      </w:r>
    </w:p>
    <w:p>
      <w:pPr>
        <w:pStyle w:val="FirstParagraph"/>
      </w:pPr>
      <w:r>
        <w:t xml:space="preserve">Climate change is expected to result in warmer but also more variable thermal environments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2023; Nunney 2016; Chevin &amp; Hoffmann 2017; Cooke</w:t>
      </w:r>
      <w:r>
        <w:t xml:space="preserve"> </w:t>
      </w:r>
      <w:r>
        <w:rPr>
          <w:iCs/>
          <w:i/>
        </w:rPr>
        <w:t xml:space="preserve">et al.</w:t>
      </w:r>
      <w:r>
        <w:t xml:space="preserve"> </w:t>
      </w:r>
      <w:r>
        <w:t xml:space="preserve">2021)</w:t>
      </w:r>
      <w:r>
        <w:t xml:space="preserve">. Without plasticity or adaptation, high extinction rates are predicted unless organisms can migrate to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 (i.e., the</w:t>
      </w:r>
      <w:r>
        <w:t xml:space="preserve"> </w:t>
      </w:r>
      <w:r>
        <w:t xml:space="preserve">‘</w:t>
      </w:r>
      <w:r>
        <w:t xml:space="preserve">plasticity first hypothesis</w:t>
      </w:r>
      <w:r>
        <w:t xml:space="preserve">’</w:t>
      </w:r>
      <w:r>
        <w:t xml:space="preserve">)</w:t>
      </w:r>
      <w:r>
        <w:t xml:space="preserve">(West-Eberhard 2003;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 (but see</w:t>
      </w:r>
      <w:r>
        <w:t xml:space="preserve"> </w:t>
      </w:r>
      <w:r>
        <w:t xml:space="preserve">(Leung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Acclimation is driven by endocrine and epigenetic processes that change the underlying physiology to facilitate a rapid response to the environment</w:t>
      </w:r>
      <w:r>
        <w:t xml:space="preserve"> </w:t>
      </w:r>
      <w:r>
        <w:t xml:space="preserve">(Little</w:t>
      </w:r>
      <w:r>
        <w:t xml:space="preserve"> </w:t>
      </w:r>
      <w:r>
        <w:rPr>
          <w:iCs/>
          <w:i/>
        </w:rPr>
        <w:t xml:space="preserve">et al.</w:t>
      </w:r>
      <w:r>
        <w:t xml:space="preserve"> </w:t>
      </w:r>
      <w:r>
        <w:t xml:space="preserve">2013; Taff &amp; Vitousek 2016; Seebacher &amp; Simmonds 2019)</w:t>
      </w:r>
      <w:r>
        <w:t xml:space="preserve">. However, the focus up to now has been primarily on mean physiological responses. For example, mean thermal tolerances or acclimation capacities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variance in a population may also indicate greater niche breadth which can buffer populations against environmental change (i.e., the portfolio effect)</w:t>
      </w:r>
      <w:r>
        <w:t xml:space="preserve"> </w:t>
      </w:r>
      <w:r>
        <w:t xml:space="preserve">(Schindler</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Sanderson</w:t>
      </w:r>
      <w:r>
        <w:t xml:space="preserve"> </w:t>
      </w:r>
      <w:r>
        <w:rPr>
          <w:iCs/>
          <w:i/>
        </w:rPr>
        <w:t xml:space="preserve">et al.</w:t>
      </w:r>
      <w:r>
        <w:t xml:space="preserve"> </w:t>
      </w:r>
      <w:r>
        <w:t xml:space="preserve">2023; Zheng</w:t>
      </w:r>
      <w:r>
        <w:t xml:space="preserve"> </w:t>
      </w:r>
      <w:r>
        <w:rPr>
          <w:iCs/>
          <w:i/>
        </w:rPr>
        <w:t xml:space="preserve">et al.</w:t>
      </w:r>
      <w:r>
        <w:t xml:space="preserve"> </w:t>
      </w:r>
      <w:r>
        <w:t xml:space="preserve">2023)</w:t>
      </w:r>
      <w:r>
        <w:t xml:space="preserve">. Decreases in phenotypic variance also suggests strong stabilising selection or reflects constraints on performance</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Changes in physiological trait variation may also have important ecological consequences by promoting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 Sanderson</w:t>
      </w:r>
      <w:r>
        <w:t xml:space="preserve"> </w:t>
      </w:r>
      <w:r>
        <w:rPr>
          <w:iCs/>
          <w:i/>
        </w:rPr>
        <w:t xml:space="preserve">et al.</w:t>
      </w:r>
      <w:r>
        <w:t xml:space="preserve"> </w:t>
      </w:r>
      <w:r>
        <w:t xml:space="preserve">2023)</w:t>
      </w:r>
      <w:r>
        <w:t xml:space="preserve">. The implications of changes in variance could, therefore, have wide-reaching consequences for understanding the capacity of populations to persist in and adapt to novel environments but to date there are few data testing the importance of variances in this context</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thought to be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w:t>
      </w:r>
      <w:r>
        <w:t xml:space="preserve">. However, this conclusion has been questioned given that marine ectotherms have recently been shown to be closer to their upper thermal limits compared to terrestrial species</w:t>
      </w:r>
      <w:r>
        <w:t xml:space="preserve"> </w:t>
      </w:r>
      <w:r>
        <w:t xml:space="preserve">(Pinsky</w:t>
      </w:r>
      <w:r>
        <w:t xml:space="preserve"> </w:t>
      </w:r>
      <w:r>
        <w:rPr>
          <w:iCs/>
          <w:i/>
        </w:rPr>
        <w:t xml:space="preserve">et al.</w:t>
      </w:r>
      <w:r>
        <w:t xml:space="preserve"> </w:t>
      </w:r>
      <w:r>
        <w:t xml:space="preserve">2019)</w:t>
      </w:r>
      <w:r>
        <w:t xml:space="preserve">. Marine and freshwater ecosystems appear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t xml:space="preserve"> </w:t>
      </w:r>
      <w:r>
        <w:t xml:space="preserve">(Barneche</w:t>
      </w:r>
      <w:r>
        <w:t xml:space="preserve"> </w:t>
      </w:r>
      <w:r>
        <w:rPr>
          <w:iCs/>
          <w:i/>
        </w:rPr>
        <w:t xml:space="preserve">et al.</w:t>
      </w:r>
      <w:r>
        <w:t xml:space="preserve"> </w:t>
      </w:r>
      <w:r>
        <w:t xml:space="preserve">2021; Seebacher</w:t>
      </w:r>
      <w:r>
        <w:t xml:space="preserve"> </w:t>
      </w:r>
      <w:r>
        <w:rPr>
          <w:iCs/>
          <w:i/>
        </w:rPr>
        <w:t xml:space="preserve">et al.</w:t>
      </w:r>
      <w:r>
        <w:t xml:space="preserve"> </w:t>
      </w:r>
      <w:r>
        <w:t xml:space="preserve">2023)</w:t>
      </w:r>
      <w:r>
        <w:t xml:space="preserve">.</w:t>
      </w:r>
    </w:p>
    <w:p>
      <w:pPr>
        <w:pStyle w:val="BodyText"/>
      </w:pPr>
      <w:r>
        <w:t xml:space="preserve">Here, we use meta-analysis to re-evaluate the degree to which aquatic and terrestrial ectotherms are capable of physiological plasticity. We then developed new effect sizes effect sizes to quantify how variance in physiological rates change with temperature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 (the date after</w:t>
      </w:r>
      <w:r>
        <w:t xml:space="preserve"> </w:t>
      </w:r>
      <w:r>
        <w:t xml:space="preserve">(Seebacher</w:t>
      </w:r>
      <w:r>
        <w:t xml:space="preserve"> </w:t>
      </w:r>
      <w:r>
        <w:rPr>
          <w:iCs/>
          <w:i/>
        </w:rPr>
        <w:t xml:space="preserve">et al.</w:t>
      </w:r>
      <w:r>
        <w:t xml:space="preserve"> </w:t>
      </w:r>
      <w:r>
        <w:t xml:space="preserve">2015)</w:t>
      </w:r>
      <w:r>
        <w:t xml:space="preserve"> </w:t>
      </w:r>
      <w:r>
        <w:t xml:space="preserve">searches were conducted) 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 Seebacher</w:t>
      </w:r>
      <w:r>
        <w:t xml:space="preserve"> </w:t>
      </w:r>
      <w:r>
        <w:rPr>
          <w:iCs/>
          <w:i/>
        </w:rPr>
        <w:t xml:space="preserve">et al.</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72-year period (1950-2022) of either surface air temperature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scenario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 (vers. 3.1.0)</w:t>
      </w:r>
      <w:r>
        <w:t xml:space="preserve"> </w:t>
      </w:r>
      <w:r>
        <w:t xml:space="preserve">(Michonneau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w:t>
      </w:r>
      <w:r>
        <w:t xml:space="preserve"> </w:t>
      </w:r>
      <w:r>
        <w:t xml:space="preserve">(Yu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w:t>
      </w:r>
      <w:r>
        <w:t xml:space="preserve"> </w:t>
      </w:r>
      <w:r>
        <w:t xml:space="preserve">(Paradis &amp; Schliep 2019)</w:t>
      </w:r>
      <w:r>
        <w:t xml:space="preserve"> </w:t>
      </w:r>
      <w:r>
        <w:t xml:space="preserve">and</w:t>
      </w:r>
      <w:r>
        <w:t xml:space="preserve"> </w:t>
      </w:r>
      <w:r>
        <w:rPr>
          <w:iCs/>
          <w:i/>
        </w:rPr>
        <w:t xml:space="preserve">phytools</w:t>
      </w:r>
      <w:r>
        <w:t xml:space="preserve"> </w:t>
      </w:r>
      <w:r>
        <w:t xml:space="preserve">(vers. 1.9.16)</w:t>
      </w:r>
      <w:r>
        <w:t xml:space="preserve"> </w:t>
      </w:r>
      <w:r>
        <w:t xml:space="preserve">(Revell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 Moghadam</w:t>
      </w:r>
      <w:r>
        <w:t xml:space="preserve"> </w:t>
      </w:r>
      <w:r>
        <w:rPr>
          <w:iCs/>
          <w:i/>
        </w:rPr>
        <w:t xml:space="preserve">et al.</w:t>
      </w:r>
      <w:r>
        <w:t xml:space="preserve"> </w:t>
      </w:r>
      <w:r>
        <w:t xml:space="preserve">2019)</w:t>
      </w:r>
      <w:r>
        <w:t xml:space="preserve">,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1°C change as opoosed to 10°C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10°C to 1°C.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42"/>
    <w:bookmarkEnd w:id="43"/>
    <w:bookmarkStart w:id="68"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acute responses were reported for each of the two acclimation temperatures (</w:t>
      </w:r>
      <w:hyperlink w:anchor="fig-1">
        <w:r>
          <w:rPr>
            <w:rStyle w:val="Hyperlink"/>
          </w:rPr>
          <w:t xml:space="preserve">Figure 1</w:t>
        </w:r>
      </w:hyperlink>
      <w:r>
        <w:t xml:space="preserve">). The two acute</w:t>
      </w:r>
      <w:r>
        <w:t xml:space="preserve"> </w:t>
      </w:r>
      <m:oMath>
        <m:r>
          <m:t>l</m:t>
        </m:r>
        <m:r>
          <m:t>n</m:t>
        </m:r>
        <m:r>
          <m:t>R</m:t>
        </m:r>
        <m:sSub>
          <m:e>
            <m:r>
              <m:t>R</m:t>
            </m:r>
          </m:e>
          <m:sub>
            <m:sSub>
              <m:e>
                <m:r>
                  <m:t>Q</m:t>
                </m:r>
              </m:e>
              <m:sub>
                <m:r>
                  <m:t>10</m:t>
                </m:r>
              </m:sub>
            </m:sSub>
          </m:sub>
        </m:sSub>
      </m:oMath>
      <w:r>
        <w:t xml:space="preserve"> </w:t>
      </w:r>
      <w:r>
        <w:t xml:space="preserve">effect sizes differed significantly from each other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but on average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1023, considering acute and acclimation effects together), metabolic enzyme rates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798)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321).</w:t>
      </w:r>
    </w:p>
    <w:bookmarkStart w:id="48"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5053911"/>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Q10 effect sizes are highlighted as well as whether the taxa are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47"/>
        </w:tc>
      </w:tr>
    </w:tbl>
    <w:bookmarkEnd w:id="48"/>
    <w:bookmarkStart w:id="53"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w:t>
      </w:r>
      <m:oMath>
        <m:r>
          <m:t>l</m:t>
        </m:r>
        <m:r>
          <m:t>n</m:t>
        </m:r>
        <m:r>
          <m:t>C</m:t>
        </m:r>
        <m:r>
          <m:t>V</m:t>
        </m:r>
        <m:sSub>
          <m:e>
            <m:r>
              <m:t>R</m:t>
            </m:r>
          </m:e>
          <m:sub>
            <m:sSub>
              <m:e>
                <m:r>
                  <m:t>Q</m:t>
                </m:r>
              </m:e>
              <m:sub>
                <m:r>
                  <m:t>10</m:t>
                </m:r>
              </m:sub>
            </m:sSub>
          </m:sub>
        </m:sSub>
      </m:oMath>
      <w:r>
        <w:t xml:space="preserve">) showed a decrease with increasing temperature across all habitat types, which was especially pronounced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physiological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52" w:name="fig-cvrlh"/>
          <w:p>
            <w:pPr>
              <w:pStyle w:val="Figure"/>
              <w:jc w:val="center"/>
            </w:pPr>
            <w:r>
              <w:drawing>
                <wp:inline>
                  <wp:extent cx="6680200" cy="4219073"/>
                  <wp:effectExtent b="0" l="0" r="0" t="0"/>
                  <wp:docPr descr="" title="" id="50" name="Picture"/>
                  <a:graphic>
                    <a:graphicData uri="http://schemas.openxmlformats.org/drawingml/2006/picture">
                      <pic:pic>
                        <pic:nvPicPr>
                          <pic:cNvPr descr="ms_files/figure-docx/fig-cvrlh-1.png" id="51" name="Picture"/>
                          <pic:cNvPicPr>
                            <a:picLocks noChangeArrowheads="1" noChangeAspect="1"/>
                          </pic:cNvPicPr>
                        </pic:nvPicPr>
                        <pic:blipFill>
                          <a:blip r:embed="rId49"/>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points are not distinguished by different symbols for ease of presentation.</w:t>
            </w:r>
          </w:p>
          <w:bookmarkEnd w:id="52"/>
        </w:tc>
      </w:tr>
    </w:tbl>
    <w:bookmarkEnd w:id="53"/>
    <w:bookmarkStart w:id="62"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7" w:name="fig-4"/>
          <w:p>
            <w:pPr>
              <w:pStyle w:val="Figure"/>
              <w:jc w:val="center"/>
            </w:pPr>
            <w:r>
              <w:drawing>
                <wp:inline>
                  <wp:extent cx="6680200" cy="7087529"/>
                  <wp:effectExtent b="0" l="0" r="0" t="0"/>
                  <wp:docPr descr="" title="" id="55" name="Picture"/>
                  <a:graphic>
                    <a:graphicData uri="http://schemas.openxmlformats.org/drawingml/2006/picture">
                      <pic:pic>
                        <pic:nvPicPr>
                          <pic:cNvPr descr="ms_files/figure-docx/fig-4-1.png" id="56" name="Picture"/>
                          <pic:cNvPicPr>
                            <a:picLocks noChangeArrowheads="1" noChangeAspect="1"/>
                          </pic:cNvPicPr>
                        </pic:nvPicPr>
                        <pic:blipFill>
                          <a:blip r:embed="rId54"/>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5"/>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5-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61"/>
        </w:tc>
      </w:tr>
    </w:tbl>
    <w:bookmarkEnd w:id="62"/>
    <w:bookmarkStart w:id="67" w:name="X73568919e14130ed845d709a8642ee495635fe2"/>
    <w:p>
      <w:pPr>
        <w:pStyle w:val="Heading3"/>
      </w:pPr>
      <w:r>
        <w:t xml:space="preserve">Changes in physiological rate variance under climate change</w:t>
      </w:r>
    </w:p>
    <w:p>
      <w:pPr>
        <w:pStyle w:val="FirstParagraph"/>
      </w:pPr>
      <w:r>
        <w:t xml:space="preserve">Measurements of acute and acclimation responses from wild ectotherms were much less common than from captive populations (</w:t>
      </w:r>
      <m:oMath>
        <m:sSub>
          <m:e>
            <m:r>
              <m:t>N</m:t>
            </m:r>
          </m:e>
          <m:sub>
            <m:r>
              <m:t>s</m:t>
            </m:r>
            <m:r>
              <m:t>p</m:t>
            </m:r>
            <m:r>
              <m:t>e</m:t>
            </m:r>
            <m:r>
              <m:t>c</m:t>
            </m:r>
            <m:r>
              <m:t>i</m:t>
            </m:r>
            <m:r>
              <m:t>e</m:t>
            </m:r>
            <m:r>
              <m:t>s</m:t>
            </m:r>
          </m:sub>
        </m:sSub>
      </m:oMath>
      <w:r>
        <w:t xml:space="preserve"> </w:t>
      </w:r>
      <w:r>
        <w:t xml:space="preserve">= 134, from 188 wild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96.81% of the locations.</w:t>
      </w:r>
    </w:p>
    <w:p>
      <w:pPr>
        <w:pStyle w:val="BodyText"/>
      </w:pPr>
      <w:r>
        <w:t xml:space="preserve">Using the ERA5 climate model, 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0.29% change in relative variance for freshwater systems (95% CI: -6.9 to 5.94%,</w:t>
      </w:r>
      <w:r>
        <w:t xml:space="preserve"> </w:t>
      </w:r>
      <m:oMath>
        <m:sSub>
          <m:e>
            <m:r>
              <m:t>p</m:t>
            </m:r>
          </m:e>
          <m:sub>
            <m:r>
              <m:t>M</m:t>
            </m:r>
            <m:r>
              <m:t>C</m:t>
            </m:r>
            <m:r>
              <m:t>M</m:t>
            </m:r>
            <m:r>
              <m:t>C</m:t>
            </m:r>
          </m:sub>
        </m:sSub>
      </m:oMath>
      <w:r>
        <w:t xml:space="preserve"> </w:t>
      </w:r>
      <w:r>
        <w:t xml:space="preserve">= 0.91), a 2.9% reduction in relative variance for marine systems (95% CI: -6.41 to 1.2%,</w:t>
      </w:r>
      <w:r>
        <w:t xml:space="preserve"> </w:t>
      </w:r>
      <m:oMath>
        <m:sSub>
          <m:e>
            <m:r>
              <m:t>p</m:t>
            </m:r>
          </m:e>
          <m:sub>
            <m:r>
              <m:t>M</m:t>
            </m:r>
            <m:r>
              <m:t>C</m:t>
            </m:r>
            <m:r>
              <m:t>M</m:t>
            </m:r>
            <m:r>
              <m:t>C</m:t>
            </m:r>
          </m:sub>
        </m:sSub>
      </m:oMath>
      <w:r>
        <w:t xml:space="preserve"> </w:t>
      </w:r>
      <w:r>
        <w:t xml:space="preserve">= 0.37), and a 12.57% reduction in relative variance for terrestrial systems (95% CI: -19.89 to -6.4%,</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66" w:name="fig-fig6"/>
          <w:p>
            <w:pPr>
              <w:pStyle w:val="Figure"/>
              <w:jc w:val="center"/>
            </w:pPr>
            <w:r>
              <w:drawing>
                <wp:inline>
                  <wp:extent cx="6680200" cy="8650002"/>
                  <wp:effectExtent b="0" l="0" r="0" t="0"/>
                  <wp:docPr descr="" title="" id="64" name="Picture"/>
                  <a:graphic>
                    <a:graphicData uri="http://schemas.openxmlformats.org/drawingml/2006/picture">
                      <pic:pic>
                        <pic:nvPicPr>
                          <pic:cNvPr descr="ms_files/figure-docx/fig-fig6-1.png" id="65" name="Picture"/>
                          <pic:cNvPicPr>
                            <a:picLocks noChangeArrowheads="1" noChangeAspect="1"/>
                          </pic:cNvPicPr>
                        </pic:nvPicPr>
                        <pic:blipFill>
                          <a:blip r:embed="rId63"/>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66"/>
        </w:tc>
      </w:tr>
    </w:tbl>
    <w:bookmarkEnd w:id="67"/>
    <w:bookmarkEnd w:id="68"/>
    <w:bookmarkStart w:id="74" w:name="discussion"/>
    <w:p>
      <w:pPr>
        <w:pStyle w:val="Heading2"/>
      </w:pPr>
      <w:r>
        <w:rPr>
          <w:bCs/>
          <w:b/>
        </w:rPr>
        <w:t xml:space="preserve">Discussion</w:t>
      </w:r>
    </w:p>
    <w:p>
      <w:pPr>
        <w:pStyle w:val="FirstParagraph"/>
      </w:pPr>
      <w:r>
        <w:t xml:space="preserve">Understanding acclimation capacity and how variation in physiological rates changes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Bush</w:t>
      </w:r>
      <w:r>
        <w:t xml:space="preserve"> </w:t>
      </w:r>
      <w:r>
        <w:rPr>
          <w:iCs/>
          <w:i/>
        </w:rPr>
        <w:t xml:space="preserve">et al.</w:t>
      </w:r>
      <w:r>
        <w:t xml:space="preserve"> </w:t>
      </w:r>
      <w:r>
        <w:t xml:space="preserve">2016; Chevin &amp; Hoffmann 2017; Sanderson</w:t>
      </w:r>
      <w:r>
        <w:t xml:space="preserve"> </w:t>
      </w:r>
      <w:r>
        <w:rPr>
          <w:iCs/>
          <w:i/>
        </w:rPr>
        <w:t xml:space="preserve">et al.</w:t>
      </w:r>
      <w:r>
        <w:t xml:space="preserve"> </w:t>
      </w:r>
      <w:r>
        <w:t xml:space="preserve">2023; Seebacher</w:t>
      </w:r>
      <w:r>
        <w:t xml:space="preserve"> </w:t>
      </w:r>
      <w:r>
        <w:rPr>
          <w:iCs/>
          <w:i/>
        </w:rPr>
        <w:t xml:space="preserve">et al.</w:t>
      </w:r>
      <w:r>
        <w:t xml:space="preserve"> </w:t>
      </w:r>
      <w:r>
        <w:t xml:space="preserve">2023)</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decreased across terrestrial, marine and freshwater ecosystems as temperatures increase, with the decrease being particularly pronouced in terrestrial ectotherms (~28%). These effects are expected to result in a decrease in the variability in physiological rates for marine and terrestrial ectotherms between ~4-13% under future climate change projections. Our results uncover an hitherto unrecognised dynamic where the benefits of acclimation may be counteracted by a decrease in trait variance.</w:t>
      </w:r>
    </w:p>
    <w:bookmarkStart w:id="69" w:name="Xb43d60fc3f1191e4e4b3a909cd91b2cb906416d"/>
    <w:p>
      <w:pPr>
        <w:pStyle w:val="Heading3"/>
      </w:pPr>
      <w:r>
        <w:rPr>
          <w:iCs/>
          <w:i/>
          <w:bCs/>
          <w:b/>
        </w:rPr>
        <w:t xml:space="preserve">Consequences of reduced plasticity and variance in physiological rates across ectotherms</w:t>
      </w:r>
    </w:p>
    <w:p>
      <w:pPr>
        <w:pStyle w:val="FirstParagraph"/>
      </w:pPr>
      <w:r>
        <w:t xml:space="preserve">Understanding the interplay between plasticity and genetic adaptation has important implications for predicting population resilience to climate change</w:t>
      </w:r>
      <w:r>
        <w:t xml:space="preserve"> </w:t>
      </w:r>
      <w:r>
        <w:t xml:space="preserve">(Chevin</w:t>
      </w:r>
      <w:r>
        <w:t xml:space="preserve"> </w:t>
      </w:r>
      <w:r>
        <w:rPr>
          <w:iCs/>
          <w:i/>
        </w:rPr>
        <w:t xml:space="preserve">et al.</w:t>
      </w:r>
      <w:r>
        <w:t xml:space="preserve"> </w:t>
      </w:r>
      <w:r>
        <w:t xml:space="preserve">2010; Hoffmann &amp; Sgrò 2011; Merilä &amp; Hendry 2014; Bush</w:t>
      </w:r>
      <w:r>
        <w:t xml:space="preserve"> </w:t>
      </w:r>
      <w:r>
        <w:rPr>
          <w:iCs/>
          <w:i/>
        </w:rPr>
        <w:t xml:space="preserve">et al.</w:t>
      </w:r>
      <w:r>
        <w:t xml:space="preserve"> </w:t>
      </w:r>
      <w:r>
        <w:t xml:space="preserve">2016; Cooke</w:t>
      </w:r>
      <w:r>
        <w:t xml:space="preserve"> </w:t>
      </w:r>
      <w:r>
        <w:rPr>
          <w:iCs/>
          <w:i/>
        </w:rPr>
        <w:t xml:space="preserve">et al.</w:t>
      </w:r>
      <w:r>
        <w:t xml:space="preserve"> </w:t>
      </w:r>
      <w:r>
        <w:t xml:space="preserve">2021; Seebacher</w:t>
      </w:r>
      <w:r>
        <w:t xml:space="preserve"> </w:t>
      </w:r>
      <w:r>
        <w:rPr>
          <w:iCs/>
          <w:i/>
        </w:rPr>
        <w:t xml:space="preserve">et al.</w:t>
      </w:r>
      <w:r>
        <w:t xml:space="preserve"> </w:t>
      </w:r>
      <w:r>
        <w:t xml:space="preserve">2023; Urban</w:t>
      </w:r>
      <w:r>
        <w:t xml:space="preserve"> </w:t>
      </w:r>
      <w:r>
        <w:rPr>
          <w:iCs/>
          <w:i/>
        </w:rPr>
        <w:t xml:space="preserve">et al.</w:t>
      </w:r>
      <w:r>
        <w:t xml:space="preserve"> </w:t>
      </w:r>
      <w:r>
        <w:t xml:space="preserve">2023)</w:t>
      </w:r>
      <w:r>
        <w:t xml:space="preserve">. For example, incorporating phenotypic plasticity and adaptation into species distribution models dampens the predicted contraction of distributions in the face of climate change</w:t>
      </w:r>
      <w:r>
        <w:t xml:space="preserve"> </w:t>
      </w:r>
      <w:r>
        <w:t xml:space="preserve">(e.g., Bush</w:t>
      </w:r>
      <w:r>
        <w:t xml:space="preserve"> </w:t>
      </w:r>
      <w:r>
        <w:rPr>
          <w:iCs/>
          <w:i/>
        </w:rPr>
        <w:t xml:space="preserve">et al.</w:t>
      </w:r>
      <w:r>
        <w:t xml:space="preserve"> </w:t>
      </w:r>
      <w:r>
        <w:t xml:space="preserve">2016)</w:t>
      </w:r>
      <w:r>
        <w:t xml:space="preserve">. In addition, it may be expected that reductions in variance impact the</w:t>
      </w:r>
      <w:r>
        <w:t xml:space="preserve"> </w:t>
      </w:r>
      <w:r>
        <w:t xml:space="preserve">‘</w:t>
      </w:r>
      <w:r>
        <w:t xml:space="preserve">opportunity for selection</w:t>
      </w:r>
      <w:r>
        <w:t xml:space="preserve">’</w:t>
      </w:r>
      <w:r>
        <w:t xml:space="preserve"> </w:t>
      </w:r>
      <w:r>
        <w:t xml:space="preserve">by reducing the strength of selection and/or the genetic variance exposed to selection, thereby reducing the capacity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 Quantifying the degree of plasticity and genetic/phenotypic variation in key physiological responses is therefore recognised as being critical to informing projections for organisms threatened by climate change</w:t>
      </w:r>
      <w:r>
        <w:t xml:space="preserve"> </w:t>
      </w:r>
      <w:r>
        <w:t xml:space="preserve">(Cooke</w:t>
      </w:r>
      <w:r>
        <w:t xml:space="preserve"> </w:t>
      </w:r>
      <w:r>
        <w:rPr>
          <w:iCs/>
          <w:i/>
        </w:rPr>
        <w:t xml:space="preserve">et al.</w:t>
      </w:r>
      <w:r>
        <w:t xml:space="preserve"> </w:t>
      </w:r>
      <w:r>
        <w:t xml:space="preserve">2021)</w:t>
      </w:r>
      <w:r>
        <w:t xml:space="preserve">.</w:t>
      </w:r>
    </w:p>
    <w:p>
      <w:pPr>
        <w:pStyle w:val="BodyText"/>
      </w:pPr>
      <w:r>
        <w:t xml:space="preserve">We show that acclimation of physiological rates and changes relative variance differ across habitats. In freshwater habitats, acclimation responses will likely be beneficial and this coincides with relatively little reduction in the relative variance thereby maintaining the raw material for selection to operate. In contrast, acclimation responses of marine organisms are associated with a nearly equal reduction in relative variance so that the beneficial effects of acclimation trade-off against reduced potential for selection at high temperatures. In terrestrial ectotherms, relative variance reductions are particularly pronounced, and this coincides with a general inability to acclimate. Terrestrial ectotherms are therefore most vulnerable to climate because both compensations for potentially negative effect of temperature via acclimation, and adaptation to novel conditions are relatively ineffective. However, terrestrial species have greater opportunity for behavioural microhabitat selection which will decrease the impacts of climate change at least in complex, thermally heterogeneous environments</w:t>
      </w:r>
      <w:r>
        <w:t xml:space="preserve"> </w:t>
      </w:r>
      <w:r>
        <w:t xml:space="preserve">(Huey</w:t>
      </w:r>
      <w:r>
        <w:t xml:space="preserve"> </w:t>
      </w:r>
      <w:r>
        <w:rPr>
          <w:iCs/>
          <w:i/>
        </w:rPr>
        <w:t xml:space="preserve">et al.</w:t>
      </w:r>
      <w:r>
        <w:t xml:space="preserve"> </w:t>
      </w:r>
      <w:r>
        <w:t xml:space="preserve">2012)</w:t>
      </w:r>
      <w:r>
        <w:t xml:space="preserve">.</w:t>
      </w:r>
    </w:p>
    <w:p>
      <w:pPr>
        <w:pStyle w:val="BodyText"/>
      </w:pPr>
      <w:r>
        <w:t xml:space="preserve">Our findings highlight the potential vulnerability of terrestrial and marine ectotherms to climate change. Our meta-analytic results provide percentage changes of relative variances and acclimation responses that can be used to parameterise models (e.g., species distribution models)</w:t>
      </w:r>
      <w:r>
        <w:t xml:space="preserve"> </w:t>
      </w:r>
      <w:r>
        <w:t xml:space="preserve">(Bush</w:t>
      </w:r>
      <w:r>
        <w:t xml:space="preserve"> </w:t>
      </w:r>
      <w:r>
        <w:rPr>
          <w:iCs/>
          <w:i/>
        </w:rPr>
        <w:t xml:space="preserve">et al.</w:t>
      </w:r>
      <w:r>
        <w:t xml:space="preserve"> </w:t>
      </w:r>
      <w:r>
        <w:t xml:space="preserve">2016; DeMarche</w:t>
      </w:r>
      <w:r>
        <w:t xml:space="preserve"> </w:t>
      </w:r>
      <w:r>
        <w:rPr>
          <w:iCs/>
          <w:i/>
        </w:rPr>
        <w:t xml:space="preserve">et al.</w:t>
      </w:r>
      <w:r>
        <w:t xml:space="preserve"> </w:t>
      </w:r>
      <w:r>
        <w:t xml:space="preserve">2019)</w:t>
      </w:r>
      <w:r>
        <w:t xml:space="preserve"> </w:t>
      </w:r>
      <w:r>
        <w:t xml:space="preserve">to predict species distributions or assess population resilience in the face of climate warming. Our results also define the range of biological responses observed across diverse taxa (e.g., through prediction intervals) providing opportunities to incorporate realistic biological variation into the modelling process.</w:t>
      </w:r>
    </w:p>
    <w:bookmarkEnd w:id="69"/>
    <w:bookmarkStart w:id="70" w:name="X04494a1530a95e29936236965e391d3273e0991"/>
    <w:p>
      <w:pPr>
        <w:pStyle w:val="Heading3"/>
      </w:pPr>
      <w:r>
        <w:rPr>
          <w:iCs/>
          <w:i/>
          <w:bCs/>
          <w:b/>
        </w:rPr>
        <w:t xml:space="preserve">Plasticity and variance in physiological rates do not differ between life-stages</w:t>
      </w:r>
    </w:p>
    <w:p>
      <w:pPr>
        <w:pStyle w:val="FirstParagraph"/>
      </w:pPr>
      <w:r>
        <w:t xml:space="preserve">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w:t>
      </w:r>
      <w:r>
        <w:t xml:space="preserve"> </w:t>
      </w:r>
      <w:r>
        <w:t xml:space="preserve">(Petitgas</w:t>
      </w:r>
      <w:r>
        <w:t xml:space="preserve"> </w:t>
      </w:r>
      <w:r>
        <w:rPr>
          <w:iCs/>
          <w:i/>
        </w:rPr>
        <w:t xml:space="preserve">et al.</w:t>
      </w:r>
      <w:r>
        <w:t xml:space="preserve"> </w:t>
      </w:r>
      <w:r>
        <w:t xml:space="preserve">2013; Levy</w:t>
      </w:r>
      <w:r>
        <w:t xml:space="preserve"> </w:t>
      </w:r>
      <w:r>
        <w:rPr>
          <w:iCs/>
          <w:i/>
        </w:rPr>
        <w:t xml:space="preserve">et al.</w:t>
      </w:r>
      <w:r>
        <w:t xml:space="preserve"> </w:t>
      </w:r>
      <w:r>
        <w:t xml:space="preserve">2015)</w:t>
      </w:r>
      <w:r>
        <w:t xml:space="preserve">. Greater plasticity in early life-stages of development is expected to be important to increase resilience to the effects of climate change because early life-stages are often particularly vulnerable periods in development</w:t>
      </w:r>
      <w:r>
        <w:t xml:space="preserve"> </w:t>
      </w:r>
      <w:r>
        <w:t xml:space="preserve">(Stearns 1976; Martin 2015)</w:t>
      </w:r>
      <w:r>
        <w:t xml:space="preserve">. We show that there were generally similar patterns between early and late life stages across a diversity of taxa, both in terms of variance changes and the capacity for plasticity. On average, our results show that early life stages are not more vulnerable to the impacts of climate change. However, our general meta-analytic findings do not imply that early life stages are not always less plastic, but that such responses are likely context or trait depedent</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Despite variation in the literature, very few studies measure multiple life-history stages within the same population. In future research, there needs to be more studies that explicitly compare differences in plasticity among life stages across multiple traits within the same population.</w:t>
      </w:r>
    </w:p>
    <w:bookmarkEnd w:id="70"/>
    <w:bookmarkStart w:id="71"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most strongly impacted by increased temperature. Changes in variability of traits governing energy demand could have important consequences on the flow of energy within and between populations, communities, and ecosystems</w:t>
      </w:r>
      <w:r>
        <w:t xml:space="preserve"> </w:t>
      </w:r>
      <w:r>
        <w:t xml:space="preserve">(Hendry 2016; Barneche</w:t>
      </w:r>
      <w:r>
        <w:t xml:space="preserve"> </w:t>
      </w:r>
      <w:r>
        <w:rPr>
          <w:iCs/>
          <w:i/>
        </w:rPr>
        <w:t xml:space="preserve">et al.</w:t>
      </w:r>
      <w:r>
        <w:t xml:space="preserve"> </w:t>
      </w:r>
      <w:r>
        <w:t xml:space="preserve">2021; Sanderson</w:t>
      </w:r>
      <w:r>
        <w:t xml:space="preserve"> </w:t>
      </w:r>
      <w:r>
        <w:rPr>
          <w:iCs/>
          <w:i/>
        </w:rPr>
        <w:t xml:space="preserve">et al.</w:t>
      </w:r>
      <w:r>
        <w:t xml:space="preserve"> </w:t>
      </w:r>
      <w:r>
        <w:t xml:space="preserve">2023; Seebacher</w:t>
      </w:r>
      <w:r>
        <w:t xml:space="preserve"> </w:t>
      </w:r>
      <w:r>
        <w:rPr>
          <w:iCs/>
          <w:i/>
        </w:rPr>
        <w:t xml:space="preserve">et al.</w:t>
      </w:r>
      <w:r>
        <w:t xml:space="preserve"> </w:t>
      </w:r>
      <w:r>
        <w:t xml:space="preserve">2023)</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intrapopulation variability in physiological rates in a warmer world may therefore be important for population resilience to climate change.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t xml:space="preserve"> </w:t>
      </w:r>
      <w:r>
        <w:t xml:space="preserve">(Kooijman</w:t>
      </w:r>
      <w:r>
        <w:t xml:space="preserve"> </w:t>
      </w:r>
      <w:r>
        <w:rPr>
          <w:iCs/>
          <w:i/>
        </w:rPr>
        <w:t xml:space="preserve">et al.</w:t>
      </w:r>
      <w:r>
        <w:t xml:space="preserve"> </w:t>
      </w:r>
      <w:r>
        <w:t xml:space="preserve">1989)</w:t>
      </w:r>
      <w:r>
        <w:t xml:space="preserve">. Our results suggest that terrestrial ectotherms will likely face greater challenges to adapting to climate change</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leading to greater rates of extinction and reduced productivity in terrestrial ecosystems. However, data testing the impacts of changes in variance on populations are limited to very few taxa. Future experimentation across a broader range of taxa should manipulate levels of variance to understand its ecological outcomes.</w:t>
      </w:r>
    </w:p>
    <w:bookmarkEnd w:id="71"/>
    <w:bookmarkStart w:id="72"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evolutionary models predict that plasticity should evolve in populations experiencing greater environmental variability (spatial or temporal), particularly when oscillations are predictable over time to make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heterogeneity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to evolve in terrestrial environments. However, we did not find evidence to this effect. Our finding is consistent with other meta-analyses</w:t>
      </w:r>
      <w:r>
        <w:t xml:space="preserve"> </w:t>
      </w:r>
      <w:r>
        <w:t xml:space="preserve">(Gunderson &amp; Stillman 2015; Barley</w:t>
      </w:r>
      <w:r>
        <w:t xml:space="preserve"> </w:t>
      </w:r>
      <w:r>
        <w:rPr>
          <w:iCs/>
          <w:i/>
        </w:rPr>
        <w:t xml:space="preserve">et al.</w:t>
      </w:r>
      <w:r>
        <w:t xml:space="preserve"> </w:t>
      </w:r>
      <w:r>
        <w:t xml:space="preserve">2021)</w:t>
      </w:r>
      <w:r>
        <w:t xml:space="preserve"> </w:t>
      </w:r>
      <w:r>
        <w:t xml:space="preserve">with thermal tolerance (which we did not consider here). Modelling correct microenvironments for over 200 species across such diverse habitats is challenging. The lack of a relationship between physiological plasticity and environmental variability and predictability could be due the fact that ectotherms simply seek out microhabitats that make their environment quite stable</w:t>
      </w:r>
      <w:r>
        <w:t xml:space="preserve"> </w:t>
      </w:r>
      <w:r>
        <w:t xml:space="preserve">(Huey</w:t>
      </w:r>
      <w:r>
        <w:t xml:space="preserve"> </w:t>
      </w:r>
      <w:r>
        <w:rPr>
          <w:iCs/>
          <w:i/>
        </w:rPr>
        <w:t xml:space="preserve">et al.</w:t>
      </w:r>
      <w:r>
        <w:t xml:space="preserve"> </w:t>
      </w:r>
      <w:r>
        <w:t xml:space="preserve">2012)</w:t>
      </w:r>
      <w:r>
        <w:t xml:space="preserv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fluctuating thermal conditions did not show any increase in plasticity, but had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t xml:space="preserve"> </w:t>
      </w:r>
      <w:r>
        <w:t xml:space="preserve">(see also Leung</w:t>
      </w:r>
      <w:r>
        <w:t xml:space="preserve"> </w:t>
      </w:r>
      <w:r>
        <w:rPr>
          <w:iCs/>
          <w:i/>
        </w:rPr>
        <w:t xml:space="preserve">et al.</w:t>
      </w:r>
      <w:r>
        <w:t xml:space="preserve"> </w:t>
      </w:r>
      <w:r>
        <w:t xml:space="preserve">2023)</w:t>
      </w:r>
      <w:r>
        <w:t xml:space="preserve">. While it is unclear how these findings relate directly to acclimation because they integrate multiple forms of plasticity, they do suggest that there are costs to being plastic or that the environmental signals are insufficient to trigger endocrine and epigenetic mechanisms that lead to plasticity when environments are not predictable</w:t>
      </w:r>
      <w:r>
        <w:t xml:space="preserve"> </w:t>
      </w:r>
      <w:r>
        <w:t xml:space="preserve">(Hendry 2016; Leung</w:t>
      </w:r>
      <w:r>
        <w:t xml:space="preserve"> </w:t>
      </w:r>
      <w:r>
        <w:rPr>
          <w:iCs/>
          <w:i/>
        </w:rPr>
        <w:t xml:space="preserve">et al.</w:t>
      </w:r>
      <w:r>
        <w:t xml:space="preserve"> </w:t>
      </w:r>
      <w:r>
        <w:t xml:space="preserve">2020)</w:t>
      </w:r>
      <w:r>
        <w:t xml:space="preserv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72"/>
    <w:bookmarkStart w:id="73"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lead to more informed predictions about the ecological and evolutionary dynamics of natural populations</w:t>
      </w:r>
      <w:r>
        <w:t xml:space="preserve"> </w:t>
      </w:r>
      <w:r>
        <w:t xml:space="preserve">(Forsman 2015; Cooke</w:t>
      </w:r>
      <w:r>
        <w:t xml:space="preserve"> </w:t>
      </w:r>
      <w:r>
        <w:rPr>
          <w:iCs/>
          <w:i/>
        </w:rPr>
        <w:t xml:space="preserve">et al.</w:t>
      </w:r>
      <w:r>
        <w:t xml:space="preserve"> </w:t>
      </w:r>
      <w:r>
        <w:t xml:space="preserve">2021; Sanderson</w:t>
      </w:r>
      <w:r>
        <w:t xml:space="preserve"> </w:t>
      </w:r>
      <w:r>
        <w:rPr>
          <w:iCs/>
          <w:i/>
        </w:rPr>
        <w:t xml:space="preserve">et al.</w:t>
      </w:r>
      <w:r>
        <w:t xml:space="preserve"> </w:t>
      </w:r>
      <w:r>
        <w:t xml:space="preserve">2023; Seebacher</w:t>
      </w:r>
      <w:r>
        <w:t xml:space="preserve"> </w:t>
      </w:r>
      <w:r>
        <w:rPr>
          <w:iCs/>
          <w:i/>
        </w:rPr>
        <w:t xml:space="preserve">et al.</w:t>
      </w:r>
      <w:r>
        <w:t xml:space="preserve"> </w:t>
      </w:r>
      <w:r>
        <w:t xml:space="preserve">2023)</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now provides the opportunity to parameterise models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73"/>
    <w:bookmarkEnd w:id="74"/>
    <w:bookmarkStart w:id="75" w:name="funding"/>
    <w:p>
      <w:pPr>
        <w:pStyle w:val="Heading2"/>
      </w:pPr>
      <w:r>
        <w:t xml:space="preserve">Funding</w:t>
      </w:r>
    </w:p>
    <w:p>
      <w:pPr>
        <w:pStyle w:val="FirstParagraph"/>
      </w:pPr>
      <w:r>
        <w:t xml:space="preserve">DWAN is supported by an Australian Research Council (ARC) Future Fellowship (FT220100276) and ARC Discovery Project (DP210101152). SN is supported by ARC Discovery Project Grants (DP210100812 and DP230101248).</w:t>
      </w:r>
    </w:p>
    <w:bookmarkEnd w:id="75"/>
    <w:bookmarkStart w:id="76" w:name="data-and-code-availability"/>
    <w:p>
      <w:pPr>
        <w:pStyle w:val="Heading2"/>
      </w:pPr>
      <w:r>
        <w:t xml:space="preserve">Data and code availability</w:t>
      </w:r>
    </w:p>
    <w:p>
      <w:pPr>
        <w:pStyle w:val="FirstParagraph"/>
      </w:pPr>
      <w:r>
        <w:t xml:space="preserve">All data and code used to reproduce analyses can be found on GitHub at: https://github.com/daniel1noble/Q10_meta_analysis.</w:t>
      </w:r>
    </w:p>
    <w:bookmarkEnd w:id="76"/>
    <w:bookmarkStart w:id="77" w:name="author-contributions"/>
    <w:p>
      <w:pPr>
        <w:pStyle w:val="Heading2"/>
      </w:pPr>
      <w:r>
        <w:t xml:space="preserve">Author contributions</w:t>
      </w:r>
    </w:p>
    <w:p>
      <w:pPr>
        <w:pStyle w:val="FirstParagraph"/>
      </w:pPr>
      <w:r>
        <w:t xml:space="preserve">Conceptualization: DWAN, FK, FS, SN; Methodology: DWAN, AB, FK, FS, SN; Investigation: DWAN, FK, FS, SN; Visualization: DWAN; Supervision: DWAN, SN, FS; Writing—original draft: DWAN; Writing—review &amp; editing: DWAN, AB, FK, FS, SN.</w:t>
      </w:r>
    </w:p>
    <w:bookmarkEnd w:id="77"/>
    <w:bookmarkStart w:id="78" w:name="conflict-of-interest"/>
    <w:p>
      <w:pPr>
        <w:pStyle w:val="Heading2"/>
      </w:pPr>
      <w:r>
        <w:t xml:space="preserve">Conflict of interest</w:t>
      </w:r>
    </w:p>
    <w:p>
      <w:pPr>
        <w:pStyle w:val="FirstParagraph"/>
      </w:pPr>
      <w:r>
        <w:t xml:space="preserve">Authors declare that they have no competing interests.</w:t>
      </w:r>
    </w:p>
    <w:bookmarkEnd w:id="78"/>
    <w:bookmarkStart w:id="165" w:name="references"/>
    <w:p>
      <w:pPr>
        <w:pStyle w:val="Heading2"/>
      </w:pPr>
      <w:r>
        <w:t xml:space="preserve">References</w:t>
      </w:r>
    </w:p>
    <w:p>
      <w:pPr>
        <w:pStyle w:val="FirstParagraph"/>
      </w:pPr>
    </w:p>
    <w:bookmarkStart w:id="164" w:name="refs"/>
    <w:bookmarkStart w:id="79"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79"/>
    <w:bookmarkStart w:id="80" w:name="ref-barley2021limited"/>
    <w:p>
      <w:pPr>
        <w:pStyle w:val="Bibliography"/>
      </w:pPr>
      <w:r>
        <w:t xml:space="preserve">Barley, J.M., Cheng, B.S., Sasaki, M., Gignoux-Wolfsohn, S., Hays, C.G., Putnam, A.B.,</w:t>
      </w:r>
      <w:r>
        <w:t xml:space="preserve"> </w:t>
      </w:r>
      <w:r>
        <w:rPr>
          <w:iCs/>
          <w:i/>
        </w:rPr>
        <w:t xml:space="preserve">et al.</w:t>
      </w:r>
      <w:r>
        <w:t xml:space="preserve"> (2021). Limited plasticity in thermally tolerant ectotherm populations: Evidence for a trade-off.</w:t>
      </w:r>
      <w:r>
        <w:t xml:space="preserve"> </w:t>
      </w:r>
      <w:r>
        <w:rPr>
          <w:iCs/>
          <w:i/>
        </w:rPr>
        <w:t xml:space="preserve">Proceedings of the Royal Society B</w:t>
      </w:r>
      <w:r>
        <w:t xml:space="preserve">, 288, 20210765.</w:t>
      </w:r>
    </w:p>
    <w:bookmarkEnd w:id="80"/>
    <w:bookmarkStart w:id="81" w:name="ref-barneche2021warming"/>
    <w:p>
      <w:pPr>
        <w:pStyle w:val="Bibliography"/>
      </w:pPr>
      <w:r>
        <w:t xml:space="preserve">Barneche, D.R., Hulatt, C.J., Dossena, M., Padfield, D., Woodward, G., Trimmer, M.,</w:t>
      </w:r>
      <w:r>
        <w:t xml:space="preserve"> </w:t>
      </w:r>
      <w:r>
        <w:rPr>
          <w:iCs/>
          <w:i/>
        </w:rPr>
        <w:t xml:space="preserve">et al.</w:t>
      </w:r>
      <w:r>
        <w:t xml:space="preserve"> (2021). Warming impairs trophic transfer efficiency in a long-term field experiment.</w:t>
      </w:r>
      <w:r>
        <w:t xml:space="preserve"> </w:t>
      </w:r>
      <w:r>
        <w:rPr>
          <w:iCs/>
          <w:i/>
        </w:rPr>
        <w:t xml:space="preserve">Nature</w:t>
      </w:r>
      <w:r>
        <w:t xml:space="preserve">, 592, 76–79.</w:t>
      </w:r>
    </w:p>
    <w:bookmarkEnd w:id="81"/>
    <w:bookmarkStart w:id="82"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2"/>
    <w:bookmarkStart w:id="8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3"/>
    <w:bookmarkStart w:id="8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84"/>
    <w:bookmarkStart w:id="8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85"/>
    <w:bookmarkStart w:id="86" w:name="ref-bush2016incorporating"/>
    <w:p>
      <w:pPr>
        <w:pStyle w:val="Bibliography"/>
      </w:pPr>
      <w:r>
        <w:t xml:space="preserve">Bush, A., Mokany, K., Catullo, R., Hoffmann, A., Kellermann, V., Sgrò, C.,</w:t>
      </w:r>
      <w:r>
        <w:t xml:space="preserve"> </w:t>
      </w:r>
      <w:r>
        <w:rPr>
          <w:iCs/>
          <w:i/>
        </w:rPr>
        <w:t xml:space="preserve">et al.</w:t>
      </w:r>
      <w:r>
        <w:t xml:space="preserve"> (2016). Incorporating evolutionary adaptation in species distribution modelling reduces projected vulnerability to climate change.</w:t>
      </w:r>
      <w:r>
        <w:t xml:space="preserve"> </w:t>
      </w:r>
      <w:r>
        <w:rPr>
          <w:iCs/>
          <w:i/>
        </w:rPr>
        <w:t xml:space="preserve">Ecology letters</w:t>
      </w:r>
      <w:r>
        <w:t xml:space="preserve">, 19, 1468–1478.</w:t>
      </w:r>
    </w:p>
    <w:bookmarkEnd w:id="86"/>
    <w:bookmarkStart w:id="8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87"/>
    <w:bookmarkStart w:id="88"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88"/>
    <w:bookmarkStart w:id="89"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89"/>
    <w:bookmarkStart w:id="90"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0"/>
    <w:bookmarkStart w:id="91"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1"/>
    <w:bookmarkStart w:id="92" w:name="ref-cooke2021one"/>
    <w:p>
      <w:pPr>
        <w:pStyle w:val="Bibliography"/>
      </w:pPr>
      <w:r>
        <w:t xml:space="preserve">Cooke, S.J., Bergman, J.N., Madliger, C.L., Cramp, R.L., Beardall, J., Burness, G.,</w:t>
      </w:r>
      <w:r>
        <w:t xml:space="preserve"> </w:t>
      </w:r>
      <w:r>
        <w:rPr>
          <w:iCs/>
          <w:i/>
        </w:rPr>
        <w:t xml:space="preserve">et al.</w:t>
      </w:r>
      <w:r>
        <w:t xml:space="preserve"> (2021). One hundred research questions in conservation physiology for generating actionable evidence to inform conservation policy and practice.</w:t>
      </w:r>
      <w:r>
        <w:t xml:space="preserve"> </w:t>
      </w:r>
      <w:r>
        <w:rPr>
          <w:iCs/>
          <w:i/>
        </w:rPr>
        <w:t xml:space="preserve">Conservation Physiology</w:t>
      </w:r>
      <w:r>
        <w:t xml:space="preserve">, 9, coab009.</w:t>
      </w:r>
    </w:p>
    <w:bookmarkEnd w:id="92"/>
    <w:bookmarkStart w:id="93" w:name="ref-demarche2019incorporating"/>
    <w:p>
      <w:pPr>
        <w:pStyle w:val="Bibliography"/>
      </w:pPr>
      <w:r>
        <w:t xml:space="preserve">DeMarche, M.L., Doak, D.F. &amp; Morris, W.F. (2019). Incorporating local adaptation into forecasts of species’ distribution and abundance under climate change.</w:t>
      </w:r>
      <w:r>
        <w:t xml:space="preserve"> </w:t>
      </w:r>
      <w:r>
        <w:rPr>
          <w:iCs/>
          <w:i/>
        </w:rPr>
        <w:t xml:space="preserve">Global Change Biology</w:t>
      </w:r>
      <w:r>
        <w:t xml:space="preserve">, 25, 775–793.</w:t>
      </w:r>
    </w:p>
    <w:bookmarkEnd w:id="93"/>
    <w:bookmarkStart w:id="94"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4"/>
    <w:bookmarkStart w:id="95"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5"/>
    <w:bookmarkStart w:id="9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6"/>
    <w:bookmarkStart w:id="97"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97"/>
    <w:bookmarkStart w:id="98"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8"/>
    <w:bookmarkStart w:id="99"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99"/>
    <w:bookmarkStart w:id="100"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0"/>
    <w:bookmarkStart w:id="101"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1"/>
    <w:bookmarkStart w:id="102"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102"/>
    <w:bookmarkStart w:id="10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3"/>
    <w:bookmarkStart w:id="10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4"/>
    <w:bookmarkStart w:id="105"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5"/>
    <w:bookmarkStart w:id="106"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6"/>
    <w:bookmarkStart w:id="107"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7"/>
    <w:bookmarkStart w:id="108"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08"/>
    <w:bookmarkStart w:id="109" w:name="ref-huey2012predicting"/>
    <w:p>
      <w:pPr>
        <w:pStyle w:val="Bibliography"/>
      </w:pPr>
      <w:r>
        <w:t xml:space="preserve">Huey, R.B., Kearney, M.R., Krockenberger, A., Holtum, J.A., Jess, M. &amp; Williams, S.E. (2012). Predicting organismal vulnerability to climate warming: Roles of behaviour, physiology and adaptation.</w:t>
      </w:r>
      <w:r>
        <w:t xml:space="preserve"> </w:t>
      </w:r>
      <w:r>
        <w:rPr>
          <w:iCs/>
          <w:i/>
        </w:rPr>
        <w:t xml:space="preserve">Philosophical Transactions of the Royal Society B: Biological Sciences</w:t>
      </w:r>
      <w:r>
        <w:t xml:space="preserve">, 367, 1665–1679.</w:t>
      </w:r>
    </w:p>
    <w:bookmarkEnd w:id="109"/>
    <w:bookmarkStart w:id="110"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10"/>
    <w:bookmarkStart w:id="111"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1"/>
    <w:bookmarkStart w:id="11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2"/>
    <w:bookmarkStart w:id="113"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3"/>
    <w:bookmarkStart w:id="114"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4"/>
    <w:bookmarkStart w:id="115"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5"/>
    <w:bookmarkStart w:id="116" w:name="ref-levy2015resolving"/>
    <w:p>
      <w:pPr>
        <w:pStyle w:val="Bibliography"/>
      </w:pPr>
      <w:r>
        <w:t xml:space="preserve">Levy, O., Buckley, L.B., Keitt, T.H., Smith, C.D., Boateng, K.O., Kumar, D.S.,</w:t>
      </w:r>
      <w:r>
        <w:t xml:space="preserve"> </w:t>
      </w:r>
      <w:r>
        <w:rPr>
          <w:iCs/>
          <w:i/>
        </w:rPr>
        <w:t xml:space="preserve">et al.</w:t>
      </w:r>
      <w:r>
        <w:t xml:space="preserve"> (2015). Resolving the life cycle alters expected impacts of climate change.</w:t>
      </w:r>
      <w:r>
        <w:t xml:space="preserve"> </w:t>
      </w:r>
      <w:r>
        <w:rPr>
          <w:iCs/>
          <w:i/>
        </w:rPr>
        <w:t xml:space="preserve">Proceedings of the Royal Society B: Biological Sciences</w:t>
      </w:r>
      <w:r>
        <w:t xml:space="preserve">, 282, 20150837.</w:t>
      </w:r>
    </w:p>
    <w:bookmarkEnd w:id="116"/>
    <w:bookmarkStart w:id="117" w:name="ref-little2013thyroid"/>
    <w:p>
      <w:pPr>
        <w:pStyle w:val="Bibliography"/>
      </w:pPr>
      <w:r>
        <w:t xml:space="preserve">Little, A.G., Kunisue, T., Kannan, K. &amp; Seebacher, F. (2013). Thyroid hormone actions are temperature-specific and regulate thermal acclimation in zebrafish (danio rerio).</w:t>
      </w:r>
      <w:r>
        <w:t xml:space="preserve"> </w:t>
      </w:r>
      <w:r>
        <w:rPr>
          <w:iCs/>
          <w:i/>
        </w:rPr>
        <w:t xml:space="preserve">Bmc Biology</w:t>
      </w:r>
      <w:r>
        <w:t xml:space="preserve">, 11, 1–15.</w:t>
      </w:r>
    </w:p>
    <w:bookmarkEnd w:id="117"/>
    <w:bookmarkStart w:id="118"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8"/>
    <w:bookmarkStart w:id="11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9"/>
    <w:bookmarkStart w:id="120"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20"/>
    <w:bookmarkStart w:id="12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21"/>
    <w:bookmarkStart w:id="122"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22"/>
    <w:bookmarkStart w:id="12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23"/>
    <w:bookmarkStart w:id="12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4"/>
    <w:bookmarkStart w:id="125"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25"/>
    <w:bookmarkStart w:id="12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6"/>
    <w:bookmarkStart w:id="12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7"/>
    <w:bookmarkStart w:id="12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8"/>
    <w:bookmarkStart w:id="12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9"/>
    <w:bookmarkStart w:id="130"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30"/>
    <w:bookmarkStart w:id="13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31"/>
    <w:bookmarkStart w:id="132"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32"/>
    <w:bookmarkStart w:id="133"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3"/>
    <w:bookmarkStart w:id="134"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4"/>
    <w:bookmarkStart w:id="135"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5"/>
    <w:bookmarkStart w:id="136" w:name="ref-petitgas2013impacts"/>
    <w:p>
      <w:pPr>
        <w:pStyle w:val="Bibliography"/>
      </w:pPr>
      <w:r>
        <w:t xml:space="preserve">Petitgas, P., Rijnsdorp, A.D., Dickey-Collas, M., Engelhard, G.H., Peck, M.A., Pinnegar, J.K.,</w:t>
      </w:r>
      <w:r>
        <w:t xml:space="preserve"> </w:t>
      </w:r>
      <w:r>
        <w:rPr>
          <w:iCs/>
          <w:i/>
        </w:rPr>
        <w:t xml:space="preserve">et al.</w:t>
      </w:r>
      <w:r>
        <w:t xml:space="preserve"> (2013). Impacts of climate change on the complex life cycles of fish.</w:t>
      </w:r>
      <w:r>
        <w:t xml:space="preserve"> </w:t>
      </w:r>
      <w:r>
        <w:rPr>
          <w:iCs/>
          <w:i/>
        </w:rPr>
        <w:t xml:space="preserve">Fisheries Oceanography</w:t>
      </w:r>
      <w:r>
        <w:t xml:space="preserve">, 22, 121–139.</w:t>
      </w:r>
    </w:p>
    <w:bookmarkEnd w:id="136"/>
    <w:bookmarkStart w:id="13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7"/>
    <w:bookmarkStart w:id="13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8"/>
    <w:bookmarkStart w:id="13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9"/>
    <w:bookmarkStart w:id="14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40"/>
    <w:bookmarkStart w:id="141"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41"/>
    <w:bookmarkStart w:id="142"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42"/>
    <w:bookmarkStart w:id="14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3"/>
    <w:bookmarkStart w:id="144" w:name="ref-Sanderson2023"/>
    <w:p>
      <w:pPr>
        <w:pStyle w:val="Bibliography"/>
      </w:pPr>
      <w:r>
        <w:t xml:space="preserve">Sanderson, S., Bolnick, D.I., Kinnison, M.T., O’Dea, R.E., Gorné, L.D. &amp; Hendry, A.P. (2023). Contemporary changes in phenotypic variation, and the potential consequences for eco-evolutionary dynamics.</w:t>
      </w:r>
      <w:r>
        <w:t xml:space="preserve"> </w:t>
      </w:r>
      <w:r>
        <w:rPr>
          <w:iCs/>
          <w:i/>
        </w:rPr>
        <w:t xml:space="preserve">Ecology Letters</w:t>
      </w:r>
      <w:r>
        <w:t xml:space="preserve">, 26, S127–S139.</w:t>
      </w:r>
    </w:p>
    <w:bookmarkEnd w:id="144"/>
    <w:bookmarkStart w:id="145"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5"/>
    <w:bookmarkStart w:id="146"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6"/>
    <w:bookmarkStart w:id="147" w:name="ref-seebacher2023can"/>
    <w:p>
      <w:pPr>
        <w:pStyle w:val="Bibliography"/>
      </w:pPr>
      <w:r>
        <w:t xml:space="preserve">Seebacher, F., Narayan, E., Rummer, J.L., Tomlinson, S. &amp; Cooke, S.J. (2023). How can physiology best contribute to wildlife conservation in a warming world?</w:t>
      </w:r>
      <w:r>
        <w:t xml:space="preserve"> </w:t>
      </w:r>
      <w:r>
        <w:rPr>
          <w:iCs/>
          <w:i/>
        </w:rPr>
        <w:t xml:space="preserve">Conservation Physiology</w:t>
      </w:r>
      <w:r>
        <w:t xml:space="preserve">, 11, coad038.</w:t>
      </w:r>
    </w:p>
    <w:bookmarkEnd w:id="147"/>
    <w:bookmarkStart w:id="148" w:name="ref-seebacher2019histone"/>
    <w:p>
      <w:pPr>
        <w:pStyle w:val="Bibliography"/>
      </w:pPr>
      <w:r>
        <w:t xml:space="preserve">Seebacher, F. &amp; Simmonds, A.I. (2019). Histone deacetylase activity mediates thermal plasticity in zebrafish (danio rerio).</w:t>
      </w:r>
      <w:r>
        <w:t xml:space="preserve"> </w:t>
      </w:r>
      <w:r>
        <w:rPr>
          <w:iCs/>
          <w:i/>
        </w:rPr>
        <w:t xml:space="preserve">Scientific Reports</w:t>
      </w:r>
      <w:r>
        <w:t xml:space="preserve">, 9, 8216.</w:t>
      </w:r>
    </w:p>
    <w:bookmarkEnd w:id="148"/>
    <w:bookmarkStart w:id="149"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9"/>
    <w:bookmarkStart w:id="150"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50"/>
    <w:bookmarkStart w:id="15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51"/>
    <w:bookmarkStart w:id="15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52"/>
    <w:bookmarkStart w:id="153"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53"/>
    <w:bookmarkStart w:id="154"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54"/>
    <w:bookmarkStart w:id="155"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55"/>
    <w:bookmarkStart w:id="156" w:name="ref-taff2016endocrine"/>
    <w:p>
      <w:pPr>
        <w:pStyle w:val="Bibliography"/>
      </w:pPr>
      <w:r>
        <w:t xml:space="preserve">Taff, C.C. &amp; Vitousek, M.N. (2016). Endocrine flexibility: Optimizing phenotypes in a dynamic world?</w:t>
      </w:r>
      <w:r>
        <w:t xml:space="preserve"> </w:t>
      </w:r>
      <w:r>
        <w:rPr>
          <w:iCs/>
          <w:i/>
        </w:rPr>
        <w:t xml:space="preserve">Trends in ecology &amp; evolution</w:t>
      </w:r>
      <w:r>
        <w:t xml:space="preserve">, 31, 476–488.</w:t>
      </w:r>
    </w:p>
    <w:bookmarkEnd w:id="156"/>
    <w:bookmarkStart w:id="157"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7"/>
    <w:bookmarkStart w:id="158"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8"/>
    <w:bookmarkStart w:id="159"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9"/>
    <w:bookmarkStart w:id="16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60"/>
    <w:bookmarkStart w:id="161"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61"/>
    <w:bookmarkStart w:id="162"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62"/>
    <w:bookmarkStart w:id="163"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63"/>
    <w:bookmarkEnd w:id="164"/>
    <w:p>
      <w:pPr>
        <w:pStyle w:val="BodyText"/>
      </w:pPr>
    </w:p>
    <w:bookmarkEnd w:id="165"/>
    <w:bookmarkStart w:id="195" w:name="supplemental-results-and-figures"/>
    <w:p>
      <w:pPr>
        <w:pStyle w:val="Heading2"/>
      </w:pPr>
      <w:r>
        <w:t xml:space="preserve">Supplemental Results and Figures</w:t>
      </w:r>
    </w:p>
    <w:bookmarkStart w:id="170"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69" w:name="fig-prisma"/>
          <w:p>
            <w:pPr>
              <w:pStyle w:val="Figure"/>
              <w:jc w:val="center"/>
            </w:pPr>
            <w:r>
              <w:drawing>
                <wp:inline>
                  <wp:extent cx="6680200" cy="5111282"/>
                  <wp:effectExtent b="0" l="0" r="0" t="0"/>
                  <wp:docPr descr="" title="" id="167" name="Picture"/>
                  <a:graphic>
                    <a:graphicData uri="http://schemas.openxmlformats.org/drawingml/2006/picture">
                      <pic:pic>
                        <pic:nvPicPr>
                          <pic:cNvPr descr="ms_files/figure-docx/fig-prisma-1.png" id="168" name="Picture"/>
                          <pic:cNvPicPr>
                            <a:picLocks noChangeArrowheads="1" noChangeAspect="1"/>
                          </pic:cNvPicPr>
                        </pic:nvPicPr>
                        <pic:blipFill>
                          <a:blip r:embed="rId166"/>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69"/>
        </w:tc>
      </w:tr>
    </w:tbl>
    <w:bookmarkEnd w:id="170"/>
    <w:bookmarkStart w:id="179"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74" w:name="fig-2"/>
          <w:p>
            <w:pPr>
              <w:pStyle w:val="Figure"/>
              <w:jc w:val="center"/>
            </w:pPr>
            <w:r>
              <w:drawing>
                <wp:inline>
                  <wp:extent cx="6680200" cy="9352280"/>
                  <wp:effectExtent b="0" l="0" r="0" t="0"/>
                  <wp:docPr descr="" title="" id="172" name="Picture"/>
                  <a:graphic>
                    <a:graphicData uri="http://schemas.openxmlformats.org/drawingml/2006/picture">
                      <pic:pic>
                        <pic:nvPicPr>
                          <pic:cNvPr descr="ms_files/figure-docx/fig-2-1.png" id="173" name="Picture"/>
                          <pic:cNvPicPr>
                            <a:picLocks noChangeArrowheads="1" noChangeAspect="1"/>
                          </pic:cNvPicPr>
                        </pic:nvPicPr>
                        <pic:blipFill>
                          <a:blip r:embed="rId171"/>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8" w:name="fig-cvrtrait"/>
          <w:p>
            <w:pPr>
              <w:pStyle w:val="Figure"/>
              <w:jc w:val="center"/>
            </w:pPr>
            <w:r>
              <w:drawing>
                <wp:inline>
                  <wp:extent cx="6680200" cy="9352280"/>
                  <wp:effectExtent b="0" l="0" r="0" t="0"/>
                  <wp:docPr descr="" title="" id="176" name="Picture"/>
                  <a:graphic>
                    <a:graphicData uri="http://schemas.openxmlformats.org/drawingml/2006/picture">
                      <pic:pic>
                        <pic:nvPicPr>
                          <pic:cNvPr descr="ms_files/figure-docx/fig-cvrtrait-1.png" id="177" name="Picture"/>
                          <pic:cNvPicPr>
                            <a:picLocks noChangeArrowheads="1" noChangeAspect="1"/>
                          </pic:cNvPicPr>
                        </pic:nvPicPr>
                        <pic:blipFill>
                          <a:blip r:embed="rId175"/>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8"/>
        </w:tc>
      </w:tr>
    </w:tbl>
    <w:bookmarkEnd w:id="179"/>
    <w:bookmarkStart w:id="18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83" w:name="fig-s1"/>
          <w:p>
            <w:pPr>
              <w:pStyle w:val="Figure"/>
              <w:jc w:val="center"/>
            </w:pPr>
            <w:r>
              <w:drawing>
                <wp:inline>
                  <wp:extent cx="6680200" cy="4647095"/>
                  <wp:effectExtent b="0" l="0" r="0" t="0"/>
                  <wp:docPr descr="" title="" id="181" name="Picture"/>
                  <a:graphic>
                    <a:graphicData uri="http://schemas.openxmlformats.org/drawingml/2006/picture">
                      <pic:pic>
                        <pic:nvPicPr>
                          <pic:cNvPr descr="ms_files/figure-docx/fig-s1-1.png" id="182" name="Picture"/>
                          <pic:cNvPicPr>
                            <a:picLocks noChangeArrowheads="1" noChangeAspect="1"/>
                          </pic:cNvPicPr>
                        </pic:nvPicPr>
                        <pic:blipFill>
                          <a:blip r:embed="rId18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83"/>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84"/>
    <w:bookmarkStart w:id="18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88" w:name="fig-s3"/>
          <w:p>
            <w:pPr>
              <w:pStyle w:val="Figure"/>
              <w:jc w:val="center"/>
            </w:pPr>
            <w:r>
              <w:drawing>
                <wp:inline>
                  <wp:extent cx="6680200" cy="2379821"/>
                  <wp:effectExtent b="0" l="0" r="0" t="0"/>
                  <wp:docPr descr="" title="" id="186" name="Picture"/>
                  <a:graphic>
                    <a:graphicData uri="http://schemas.openxmlformats.org/drawingml/2006/picture">
                      <pic:pic>
                        <pic:nvPicPr>
                          <pic:cNvPr descr="ms_files/figure-docx/fig-s3-1.png" id="187" name="Picture"/>
                          <pic:cNvPicPr>
                            <a:picLocks noChangeArrowheads="1" noChangeAspect="1"/>
                          </pic:cNvPicPr>
                        </pic:nvPicPr>
                        <pic:blipFill>
                          <a:blip r:embed="rId18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88"/>
        </w:tc>
      </w:tr>
    </w:tbl>
    <w:bookmarkEnd w:id="189"/>
    <w:bookmarkStart w:id="194" w:name="publication-bias-analysis"/>
    <w:p>
      <w:pPr>
        <w:pStyle w:val="Heading4"/>
      </w:pPr>
      <w:r>
        <w:t xml:space="preserve">Publication Bias Analysis</w:t>
      </w:r>
    </w:p>
    <w:p>
      <w:pPr>
        <w:pStyle w:val="FirstParagraph"/>
      </w:pPr>
      <w:r>
        <w:t xml:space="preserve">Funnel plots did not show any noticeable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93" w:name="fig-s2"/>
          <w:p>
            <w:pPr>
              <w:pStyle w:val="Figure"/>
              <w:jc w:val="center"/>
            </w:pPr>
            <w:r>
              <w:drawing>
                <wp:inline>
                  <wp:extent cx="6680200" cy="2788257"/>
                  <wp:effectExtent b="0" l="0" r="0" t="0"/>
                  <wp:docPr descr="" title="" id="191" name="Picture"/>
                  <a:graphic>
                    <a:graphicData uri="http://schemas.openxmlformats.org/drawingml/2006/picture">
                      <pic:pic>
                        <pic:nvPicPr>
                          <pic:cNvPr descr="ms_files/figure-docx/fig-s2-1.png" id="192" name="Picture"/>
                          <pic:cNvPicPr>
                            <a:picLocks noChangeArrowheads="1" noChangeAspect="1"/>
                          </pic:cNvPicPr>
                        </pic:nvPicPr>
                        <pic:blipFill>
                          <a:blip r:embed="rId19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93"/>
        </w:tc>
      </w:tr>
    </w:tbl>
    <w:bookmarkEnd w:id="194"/>
    <w:bookmarkEnd w:id="195"/>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171" Target="media/rId17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175" Target="media/rId175.png" /><Relationship Type="http://schemas.openxmlformats.org/officeDocument/2006/relationships/image" Id="rId63" Target="media/rId63.png" /><Relationship Type="http://schemas.openxmlformats.org/officeDocument/2006/relationships/image" Id="rId166" Target="media/rId166.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of ectotherm populations under climate change</dc:title>
  <dc:creator/>
  <cp:keywords/>
  <dcterms:created xsi:type="dcterms:W3CDTF">2024-03-14T00:25:22Z</dcterms:created>
  <dcterms:modified xsi:type="dcterms:W3CDTF">2024-03-14T00:25:22Z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